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eastAsia="黑体"/>
          <w:bCs/>
          <w:sz w:val="32"/>
          <w:szCs w:val="32"/>
        </w:rPr>
      </w:pPr>
      <w:r>
        <w:rPr>
          <w:rFonts w:ascii="黑体" w:eastAsia="黑体"/>
          <w:sz w:val="30"/>
          <w:szCs w:val="30"/>
        </w:rPr>
        <w:t>附件</w:t>
      </w:r>
      <w:r>
        <w:rPr>
          <w:rFonts w:eastAsia="黑体"/>
          <w:sz w:val="30"/>
          <w:szCs w:val="30"/>
        </w:rPr>
        <w:t>3</w:t>
      </w:r>
    </w:p>
    <w:p>
      <w:pPr>
        <w:jc w:val="center"/>
        <w:rPr>
          <w:rFonts w:ascii="黑体" w:eastAsia="黑体"/>
          <w:bCs/>
          <w:sz w:val="32"/>
          <w:szCs w:val="32"/>
        </w:rPr>
      </w:pPr>
      <w:r>
        <w:rPr>
          <w:rFonts w:hint="eastAsia" w:ascii="黑体" w:eastAsia="黑体"/>
          <w:sz w:val="30"/>
          <w:szCs w:val="30"/>
        </w:rPr>
        <w:t>“校园安全与危机事件应对”专题</w:t>
      </w:r>
      <w:r>
        <w:rPr>
          <w:rFonts w:hint="eastAsia" w:ascii="黑体" w:eastAsia="黑体"/>
          <w:bCs/>
          <w:sz w:val="32"/>
          <w:szCs w:val="32"/>
        </w:rPr>
        <w:t>培训班实施方案</w:t>
      </w:r>
    </w:p>
    <w:p>
      <w:pPr>
        <w:spacing w:line="600" w:lineRule="exact"/>
        <w:ind w:firstLine="560" w:firstLineChars="200"/>
        <w:rPr>
          <w:rFonts w:ascii="黑体" w:eastAsia="黑体"/>
          <w:bCs/>
          <w:sz w:val="28"/>
          <w:szCs w:val="32"/>
        </w:rPr>
      </w:pPr>
      <w:r>
        <w:rPr>
          <w:rFonts w:ascii="黑体" w:eastAsia="黑体"/>
          <w:bCs/>
          <w:sz w:val="28"/>
          <w:szCs w:val="32"/>
        </w:rPr>
        <w:t>一</w:t>
      </w:r>
      <w:r>
        <w:rPr>
          <w:rFonts w:hint="eastAsia" w:ascii="黑体" w:eastAsia="黑体"/>
          <w:bCs/>
          <w:sz w:val="28"/>
          <w:szCs w:val="32"/>
        </w:rPr>
        <w:t>、培训目标</w:t>
      </w:r>
    </w:p>
    <w:p>
      <w:pPr>
        <w:spacing w:line="600" w:lineRule="exact"/>
        <w:ind w:firstLine="560" w:firstLineChars="200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30"/>
        </w:rPr>
        <w:t>专题培训班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以“</w:t>
      </w:r>
      <w:r>
        <w:rPr>
          <w:rFonts w:hint="eastAsia" w:ascii="仿宋" w:hAnsi="仿宋" w:eastAsia="仿宋" w:cs="仿宋"/>
          <w:color w:val="000000"/>
          <w:sz w:val="28"/>
          <w:szCs w:val="30"/>
        </w:rPr>
        <w:t>校园安全与危机事件应对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”为主题，</w:t>
      </w:r>
      <w:r>
        <w:rPr>
          <w:rFonts w:hint="eastAsia" w:ascii="仿宋" w:hAnsi="仿宋" w:eastAsia="仿宋" w:cs="仿宋"/>
          <w:color w:val="000000"/>
          <w:sz w:val="28"/>
          <w:szCs w:val="30"/>
        </w:rPr>
        <w:t>引导高校辅导员准确把握高校校园安全工作形势与要求，熟练掌握各类学生安全危机事件应对方法，不断提高意识形态风险防范化解能力和新媒体舆情应对能力，为学校落实立德树人根本任务、学生全面健康发展营造安全可靠的育人环境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。</w:t>
      </w:r>
    </w:p>
    <w:p>
      <w:pPr>
        <w:spacing w:line="600" w:lineRule="exact"/>
        <w:ind w:firstLine="560" w:firstLineChars="200"/>
        <w:rPr>
          <w:rFonts w:ascii="黑体" w:eastAsia="黑体"/>
          <w:bCs/>
          <w:sz w:val="28"/>
          <w:szCs w:val="32"/>
        </w:rPr>
      </w:pPr>
      <w:r>
        <w:rPr>
          <w:rFonts w:ascii="黑体" w:eastAsia="黑体"/>
          <w:bCs/>
          <w:sz w:val="28"/>
          <w:szCs w:val="32"/>
        </w:rPr>
        <w:t>二</w:t>
      </w:r>
      <w:r>
        <w:rPr>
          <w:rFonts w:hint="eastAsia" w:ascii="黑体" w:eastAsia="黑体"/>
          <w:bCs/>
          <w:sz w:val="28"/>
          <w:szCs w:val="32"/>
        </w:rPr>
        <w:t>、培训对象</w:t>
      </w:r>
    </w:p>
    <w:p>
      <w:pPr>
        <w:spacing w:line="600" w:lineRule="exact"/>
        <w:ind w:firstLine="560" w:firstLineChars="200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各高校学工部（处）、研工部（处）、校团委（团总支）相关负责同志；院（系）党组织副书记、学工组长、团委书记、辅导员、班主任等。</w:t>
      </w:r>
    </w:p>
    <w:p>
      <w:pPr>
        <w:spacing w:line="600" w:lineRule="exact"/>
        <w:ind w:firstLine="560" w:firstLineChars="200"/>
        <w:rPr>
          <w:rFonts w:ascii="黑体" w:eastAsia="黑体"/>
          <w:bCs/>
          <w:sz w:val="28"/>
          <w:szCs w:val="32"/>
        </w:rPr>
      </w:pPr>
      <w:r>
        <w:rPr>
          <w:rFonts w:ascii="黑体" w:eastAsia="黑体"/>
          <w:bCs/>
          <w:sz w:val="28"/>
          <w:szCs w:val="32"/>
        </w:rPr>
        <w:t>三</w:t>
      </w:r>
      <w:r>
        <w:rPr>
          <w:rFonts w:hint="eastAsia" w:ascii="黑体" w:eastAsia="黑体"/>
          <w:bCs/>
          <w:sz w:val="28"/>
          <w:szCs w:val="32"/>
        </w:rPr>
        <w:t>、</w:t>
      </w:r>
      <w:r>
        <w:rPr>
          <w:rFonts w:ascii="黑体" w:eastAsia="黑体"/>
          <w:bCs/>
          <w:sz w:val="28"/>
          <w:szCs w:val="32"/>
        </w:rPr>
        <w:t>培训</w:t>
      </w:r>
      <w:r>
        <w:rPr>
          <w:rFonts w:hint="eastAsia" w:ascii="黑体" w:eastAsia="黑体"/>
          <w:bCs/>
          <w:sz w:val="28"/>
          <w:szCs w:val="32"/>
        </w:rPr>
        <w:t>时长</w:t>
      </w:r>
    </w:p>
    <w:p>
      <w:pPr>
        <w:spacing w:line="600" w:lineRule="exact"/>
        <w:ind w:firstLine="560" w:firstLineChars="200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eastAsia="仿宋"/>
          <w:color w:val="000000"/>
          <w:sz w:val="28"/>
          <w:szCs w:val="28"/>
        </w:rPr>
        <w:t>学习时长为3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个月，可随时开班学习。</w:t>
      </w:r>
    </w:p>
    <w:p>
      <w:pPr>
        <w:spacing w:line="600" w:lineRule="exact"/>
        <w:ind w:firstLine="560" w:firstLineChars="200"/>
        <w:rPr>
          <w:rFonts w:ascii="黑体" w:eastAsia="黑体"/>
          <w:bCs/>
          <w:sz w:val="28"/>
          <w:szCs w:val="32"/>
        </w:rPr>
      </w:pPr>
      <w:r>
        <w:rPr>
          <w:rFonts w:ascii="黑体" w:eastAsia="黑体"/>
          <w:bCs/>
          <w:sz w:val="28"/>
          <w:szCs w:val="32"/>
        </w:rPr>
        <w:t>四</w:t>
      </w:r>
      <w:r>
        <w:rPr>
          <w:rFonts w:hint="eastAsia" w:ascii="黑体" w:eastAsia="黑体"/>
          <w:bCs/>
          <w:sz w:val="28"/>
          <w:szCs w:val="32"/>
        </w:rPr>
        <w:t>、培训内容</w:t>
      </w:r>
    </w:p>
    <w:p>
      <w:pPr>
        <w:spacing w:line="600" w:lineRule="exact"/>
        <w:ind w:firstLine="560" w:firstLineChars="200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围绕高校意识形态安全与新媒体舆情应对、各类学生危机事件的预防与应对、大学生心理危机早期发现与干预等内容设置课程模块，具体课程见下表：</w:t>
      </w:r>
    </w:p>
    <w:tbl>
      <w:tblPr>
        <w:tblStyle w:val="2"/>
        <w:tblW w:w="850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3544"/>
        <w:gridCol w:w="992"/>
        <w:gridCol w:w="31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tblHeader/>
        </w:trPr>
        <w:tc>
          <w:tcPr>
            <w:tcW w:w="85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</w:rPr>
              <w:t>课程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</w:rPr>
              <w:t>模块</w:t>
            </w:r>
          </w:p>
        </w:tc>
        <w:tc>
          <w:tcPr>
            <w:tcW w:w="354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课程名称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主讲人</w:t>
            </w:r>
          </w:p>
        </w:tc>
        <w:tc>
          <w:tcPr>
            <w:tcW w:w="311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单位与职务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51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高校意识形态安全与新媒体舆情</w:t>
            </w:r>
          </w:p>
        </w:tc>
        <w:tc>
          <w:tcPr>
            <w:tcW w:w="3544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学习贯彻党的十九大精神 切实做好高校意识形态工作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王炳林</w:t>
            </w:r>
          </w:p>
        </w:tc>
        <w:tc>
          <w:tcPr>
            <w:tcW w:w="3118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教育部高等学校社会科学发展研究中心主任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51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544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我国认识和处理当代宗教问题的历程与经验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 xml:space="preserve">胡 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岩</w:t>
            </w:r>
          </w:p>
        </w:tc>
        <w:tc>
          <w:tcPr>
            <w:tcW w:w="3118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中共中央党校（国家行政学院）科学社会主义教研部教授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51" w:type="dxa"/>
            <w:vMerge w:val="continue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544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全球传播时代的网络文化与意识形态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史安斌</w:t>
            </w:r>
          </w:p>
        </w:tc>
        <w:tc>
          <w:tcPr>
            <w:tcW w:w="3118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清华大学新闻与传播学院副院长、教授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51" w:type="dxa"/>
            <w:vMerge w:val="restart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高校意识形态安全与新媒体舆情</w:t>
            </w:r>
          </w:p>
        </w:tc>
        <w:tc>
          <w:tcPr>
            <w:tcW w:w="3544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校园宗教传播与应对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 xml:space="preserve">左 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鹏</w:t>
            </w:r>
          </w:p>
        </w:tc>
        <w:tc>
          <w:tcPr>
            <w:tcW w:w="3118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北京科技大学马克思主义学院教授、博士生导师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51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544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网络文化的意识形态功能与辅导员工作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姜汪维</w:t>
            </w:r>
          </w:p>
        </w:tc>
        <w:tc>
          <w:tcPr>
            <w:tcW w:w="3118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石河子大学辅导员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51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544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官微新媒体，怎样才能玩转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 xml:space="preserve">张 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志</w:t>
            </w:r>
          </w:p>
        </w:tc>
        <w:tc>
          <w:tcPr>
            <w:tcW w:w="3118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武汉工程大学大学生创新创业中心主任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51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544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新媒体与舆情管理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 xml:space="preserve">田 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丽</w:t>
            </w:r>
          </w:p>
        </w:tc>
        <w:tc>
          <w:tcPr>
            <w:tcW w:w="3118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北京大学互联网发展研究中心主任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51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544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互联网+时代教育突发事件的舆情应对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杨艳玲</w:t>
            </w:r>
          </w:p>
        </w:tc>
        <w:tc>
          <w:tcPr>
            <w:tcW w:w="3118" w:type="dxa"/>
            <w:noWrap w:val="0"/>
            <w:vAlign w:val="center"/>
          </w:tcPr>
          <w:p>
            <w:pP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国家教育行政学院教授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51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学生危机事件应对</w:t>
            </w:r>
          </w:p>
        </w:tc>
        <w:tc>
          <w:tcPr>
            <w:tcW w:w="3544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校园安全：预防、预警与处警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冯锁柱</w:t>
            </w:r>
          </w:p>
        </w:tc>
        <w:tc>
          <w:tcPr>
            <w:tcW w:w="3118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北京警察学院教授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5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544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处置校园安全事件的法律意识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石连海</w:t>
            </w:r>
          </w:p>
        </w:tc>
        <w:tc>
          <w:tcPr>
            <w:tcW w:w="3118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国家教育行政学院副教授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5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544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高等学校学生管理中的法律问题与应对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王大泉</w:t>
            </w:r>
          </w:p>
        </w:tc>
        <w:tc>
          <w:tcPr>
            <w:tcW w:w="3118" w:type="dxa"/>
            <w:noWrap w:val="0"/>
            <w:vAlign w:val="center"/>
          </w:tcPr>
          <w:p>
            <w:pP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教育部政策法规司副司长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5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544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走进了解校园学生危机事件</w:t>
            </w:r>
          </w:p>
        </w:tc>
        <w:tc>
          <w:tcPr>
            <w:tcW w:w="99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刘明耀</w:t>
            </w:r>
          </w:p>
        </w:tc>
        <w:tc>
          <w:tcPr>
            <w:tcW w:w="3118" w:type="dxa"/>
            <w:vMerge w:val="restart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辽宁生态工程职业学院学生处处长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5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544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各类学生危机事件应对与处理方法</w:t>
            </w:r>
          </w:p>
        </w:tc>
        <w:tc>
          <w:tcPr>
            <w:tcW w:w="99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118" w:type="dxa"/>
            <w:vMerge w:val="continue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5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544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高校学生安全管理案例分享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张金学</w:t>
            </w:r>
          </w:p>
        </w:tc>
        <w:tc>
          <w:tcPr>
            <w:tcW w:w="3118" w:type="dxa"/>
            <w:noWrap w:val="0"/>
            <w:vAlign w:val="center"/>
          </w:tcPr>
          <w:p>
            <w:pP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中南大学建筑与艺术学院党委副书记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51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学生心理危机干预</w:t>
            </w:r>
          </w:p>
        </w:tc>
        <w:tc>
          <w:tcPr>
            <w:tcW w:w="3544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大学生常见的心理问题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庄明科</w:t>
            </w:r>
          </w:p>
        </w:tc>
        <w:tc>
          <w:tcPr>
            <w:tcW w:w="3118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北京大学学生心理健康教育与咨询中心副主任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5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544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理解大学生心理危机</w:t>
            </w:r>
          </w:p>
        </w:tc>
        <w:tc>
          <w:tcPr>
            <w:tcW w:w="99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段鑫星</w:t>
            </w:r>
          </w:p>
        </w:tc>
        <w:tc>
          <w:tcPr>
            <w:tcW w:w="3118" w:type="dxa"/>
            <w:vMerge w:val="restart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中国矿业大学公共管理学院院长、博士生导师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5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544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大学生心理危机的早期发现与预防</w:t>
            </w:r>
          </w:p>
        </w:tc>
        <w:tc>
          <w:tcPr>
            <w:tcW w:w="99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118" w:type="dxa"/>
            <w:vMerge w:val="continue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5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544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大学生心理危机干预策略选择</w:t>
            </w:r>
          </w:p>
        </w:tc>
        <w:tc>
          <w:tcPr>
            <w:tcW w:w="99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118" w:type="dxa"/>
            <w:vMerge w:val="continue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5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544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学生心理危机干预实操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 xml:space="preserve">牛 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莉</w:t>
            </w:r>
          </w:p>
        </w:tc>
        <w:tc>
          <w:tcPr>
            <w:tcW w:w="3118" w:type="dxa"/>
            <w:noWrap w:val="0"/>
            <w:vAlign w:val="center"/>
          </w:tcPr>
          <w:p>
            <w:pP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北京交通大学辅导员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5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544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和谐：一致性沟通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蔺桂瑞</w:t>
            </w:r>
          </w:p>
        </w:tc>
        <w:tc>
          <w:tcPr>
            <w:tcW w:w="3118" w:type="dxa"/>
            <w:noWrap w:val="0"/>
            <w:vAlign w:val="center"/>
          </w:tcPr>
          <w:p>
            <w:pP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首都师范大学教授</w:t>
            </w:r>
          </w:p>
        </w:tc>
      </w:tr>
    </w:tbl>
    <w:p>
      <w:pPr>
        <w:ind w:left="1" w:hanging="1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说明：</w:t>
      </w:r>
      <w:r>
        <w:rPr>
          <w:rFonts w:ascii="仿宋" w:hAnsi="仿宋" w:eastAsia="仿宋"/>
          <w:sz w:val="24"/>
        </w:rPr>
        <w:t>1.</w:t>
      </w:r>
      <w:r>
        <w:rPr>
          <w:rFonts w:hint="eastAsia" w:ascii="仿宋" w:hAnsi="仿宋" w:eastAsia="仿宋" w:cs="仿宋"/>
          <w:sz w:val="24"/>
        </w:rPr>
        <w:t>具体课程或有调整，以平台最终发布为准；</w:t>
      </w:r>
    </w:p>
    <w:p>
      <w:pPr>
        <w:ind w:left="-141" w:leftChars="-67" w:firstLine="849" w:firstLineChars="354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ascii="仿宋" w:hAnsi="仿宋" w:eastAsia="仿宋"/>
          <w:sz w:val="24"/>
        </w:rPr>
        <w:t>2.</w:t>
      </w:r>
      <w:r>
        <w:rPr>
          <w:rFonts w:hint="eastAsia" w:ascii="仿宋" w:hAnsi="仿宋" w:eastAsia="仿宋" w:cs="仿宋"/>
          <w:sz w:val="24"/>
        </w:rPr>
        <w:t>主讲人职务为课程录制时的职务。</w:t>
      </w:r>
    </w:p>
    <w:p>
      <w:pPr>
        <w:spacing w:line="600" w:lineRule="exact"/>
        <w:ind w:firstLine="560" w:firstLineChars="200"/>
        <w:rPr>
          <w:rFonts w:ascii="黑体" w:eastAsia="黑体"/>
          <w:bCs/>
          <w:sz w:val="28"/>
          <w:szCs w:val="32"/>
        </w:rPr>
      </w:pPr>
      <w:r>
        <w:rPr>
          <w:rFonts w:ascii="黑体" w:eastAsia="黑体"/>
          <w:bCs/>
          <w:sz w:val="28"/>
          <w:szCs w:val="32"/>
        </w:rPr>
        <w:t>五</w:t>
      </w:r>
      <w:r>
        <w:rPr>
          <w:rFonts w:hint="eastAsia" w:ascii="黑体" w:eastAsia="黑体"/>
          <w:bCs/>
          <w:sz w:val="28"/>
          <w:szCs w:val="32"/>
        </w:rPr>
        <w:t>、</w:t>
      </w:r>
      <w:r>
        <w:rPr>
          <w:rFonts w:ascii="黑体" w:eastAsia="黑体"/>
          <w:bCs/>
          <w:sz w:val="28"/>
          <w:szCs w:val="32"/>
        </w:rPr>
        <w:t>培训安排</w:t>
      </w:r>
    </w:p>
    <w:p>
      <w:pPr>
        <w:spacing w:line="600" w:lineRule="exact"/>
        <w:ind w:firstLine="560" w:firstLineChars="200"/>
        <w:rPr>
          <w:rFonts w:eastAsia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专题培训班设置网络课程研修、</w:t>
      </w:r>
      <w:r>
        <w:rPr>
          <w:rFonts w:eastAsia="仿宋"/>
          <w:color w:val="000000"/>
          <w:sz w:val="28"/>
          <w:szCs w:val="28"/>
        </w:rPr>
        <w:t>主题交流研讨</w:t>
      </w:r>
      <w:r>
        <w:rPr>
          <w:rFonts w:hint="eastAsia" w:eastAsia="仿宋"/>
          <w:color w:val="000000"/>
          <w:sz w:val="28"/>
          <w:szCs w:val="28"/>
        </w:rPr>
        <w:t>、</w:t>
      </w:r>
      <w:r>
        <w:rPr>
          <w:rFonts w:eastAsia="仿宋"/>
          <w:color w:val="000000"/>
          <w:sz w:val="28"/>
          <w:szCs w:val="28"/>
        </w:rPr>
        <w:t>专家跟踪指导</w:t>
      </w:r>
      <w:r>
        <w:rPr>
          <w:rFonts w:hint="eastAsia" w:eastAsia="仿宋"/>
          <w:color w:val="000000"/>
          <w:sz w:val="28"/>
          <w:szCs w:val="28"/>
        </w:rPr>
        <w:t>、在线考试测评四个环节。此外，为调动学员自主学习积极性，培训设置课题研究报告环节供学员选修。</w:t>
      </w:r>
    </w:p>
    <w:p>
      <w:pPr>
        <w:spacing w:line="600" w:lineRule="exact"/>
        <w:ind w:firstLine="562" w:firstLineChars="200"/>
        <w:rPr>
          <w:rFonts w:eastAsia="仿宋"/>
          <w:color w:val="000000"/>
          <w:sz w:val="28"/>
          <w:szCs w:val="28"/>
        </w:rPr>
      </w:pPr>
      <w:r>
        <w:rPr>
          <w:rFonts w:hint="eastAsia" w:eastAsia="仿宋"/>
          <w:b/>
          <w:color w:val="000000"/>
          <w:sz w:val="28"/>
          <w:szCs w:val="28"/>
        </w:rPr>
        <w:t>1</w:t>
      </w:r>
      <w:r>
        <w:rPr>
          <w:rFonts w:eastAsia="仿宋"/>
          <w:b/>
          <w:color w:val="000000"/>
          <w:sz w:val="28"/>
          <w:szCs w:val="28"/>
        </w:rPr>
        <w:t>.网络课程研修</w:t>
      </w:r>
      <w:r>
        <w:rPr>
          <w:rFonts w:hint="eastAsia" w:eastAsia="仿宋"/>
          <w:b/>
          <w:color w:val="000000"/>
          <w:sz w:val="28"/>
          <w:szCs w:val="28"/>
        </w:rPr>
        <w:t>：</w:t>
      </w:r>
      <w:r>
        <w:rPr>
          <w:rFonts w:eastAsia="仿宋"/>
          <w:color w:val="000000"/>
          <w:sz w:val="28"/>
          <w:szCs w:val="28"/>
        </w:rPr>
        <w:t>参训学员须完成30学时（45分钟/学时）的</w:t>
      </w:r>
      <w:r>
        <w:rPr>
          <w:rFonts w:hint="eastAsia" w:eastAsia="仿宋"/>
          <w:color w:val="000000"/>
          <w:sz w:val="28"/>
          <w:szCs w:val="28"/>
        </w:rPr>
        <w:t>视频</w:t>
      </w:r>
      <w:r>
        <w:rPr>
          <w:rFonts w:eastAsia="仿宋"/>
          <w:color w:val="000000"/>
          <w:sz w:val="28"/>
          <w:szCs w:val="28"/>
        </w:rPr>
        <w:t>课程学习任务</w:t>
      </w:r>
      <w:r>
        <w:rPr>
          <w:rFonts w:hint="eastAsia" w:eastAsia="仿宋"/>
          <w:color w:val="000000"/>
          <w:sz w:val="28"/>
          <w:szCs w:val="28"/>
        </w:rPr>
        <w:t>。</w:t>
      </w:r>
    </w:p>
    <w:p>
      <w:pPr>
        <w:spacing w:line="600" w:lineRule="exact"/>
        <w:ind w:firstLine="562" w:firstLineChars="200"/>
        <w:rPr>
          <w:rFonts w:eastAsia="仿宋"/>
          <w:color w:val="000000"/>
          <w:sz w:val="28"/>
          <w:szCs w:val="28"/>
        </w:rPr>
      </w:pPr>
      <w:r>
        <w:rPr>
          <w:rFonts w:hint="eastAsia" w:eastAsia="仿宋"/>
          <w:b/>
          <w:color w:val="000000"/>
          <w:sz w:val="28"/>
          <w:szCs w:val="28"/>
        </w:rPr>
        <w:t>2</w:t>
      </w:r>
      <w:r>
        <w:rPr>
          <w:rFonts w:eastAsia="仿宋"/>
          <w:b/>
          <w:color w:val="000000"/>
          <w:sz w:val="28"/>
          <w:szCs w:val="28"/>
        </w:rPr>
        <w:t>.主题交流研讨</w:t>
      </w:r>
      <w:r>
        <w:rPr>
          <w:rFonts w:hint="eastAsia" w:eastAsia="仿宋"/>
          <w:b/>
          <w:color w:val="000000"/>
          <w:sz w:val="28"/>
          <w:szCs w:val="28"/>
        </w:rPr>
        <w:t>：</w:t>
      </w:r>
      <w:r>
        <w:rPr>
          <w:rFonts w:eastAsia="仿宋"/>
          <w:color w:val="000000"/>
          <w:sz w:val="28"/>
          <w:szCs w:val="28"/>
        </w:rPr>
        <w:t>参训学员围绕</w:t>
      </w:r>
      <w:r>
        <w:rPr>
          <w:rFonts w:hint="eastAsia" w:eastAsia="仿宋"/>
          <w:color w:val="000000"/>
          <w:sz w:val="28"/>
          <w:szCs w:val="28"/>
        </w:rPr>
        <w:t>“网络意识形态的特点及应对策略” “高校学生安全事件应对”“大学生心理危机干预”等主题</w:t>
      </w:r>
      <w:r>
        <w:rPr>
          <w:rFonts w:eastAsia="仿宋"/>
          <w:color w:val="000000"/>
          <w:sz w:val="28"/>
          <w:szCs w:val="28"/>
        </w:rPr>
        <w:t>进行网上集中研讨，也可结合所在学校实际情况，线下自行组织开展讨论。</w:t>
      </w:r>
    </w:p>
    <w:p>
      <w:pPr>
        <w:spacing w:line="600" w:lineRule="exact"/>
        <w:ind w:firstLine="562" w:firstLineChars="200"/>
        <w:rPr>
          <w:rFonts w:eastAsia="仿宋"/>
          <w:color w:val="000000"/>
          <w:sz w:val="28"/>
          <w:szCs w:val="28"/>
        </w:rPr>
      </w:pPr>
      <w:r>
        <w:rPr>
          <w:rFonts w:eastAsia="仿宋"/>
          <w:b/>
          <w:color w:val="000000"/>
          <w:sz w:val="28"/>
          <w:szCs w:val="28"/>
        </w:rPr>
        <w:t>3.专家跟踪指导</w:t>
      </w:r>
      <w:r>
        <w:rPr>
          <w:rFonts w:hint="eastAsia" w:eastAsia="仿宋"/>
          <w:b/>
          <w:color w:val="000000"/>
          <w:sz w:val="28"/>
          <w:szCs w:val="28"/>
        </w:rPr>
        <w:t>：</w:t>
      </w:r>
      <w:r>
        <w:rPr>
          <w:rFonts w:eastAsia="仿宋"/>
          <w:color w:val="000000"/>
          <w:sz w:val="28"/>
          <w:szCs w:val="28"/>
        </w:rPr>
        <w:t>邀请专家及一线优秀辅导员</w:t>
      </w:r>
      <w:r>
        <w:rPr>
          <w:rFonts w:hint="eastAsia" w:eastAsia="仿宋"/>
          <w:color w:val="000000"/>
          <w:sz w:val="28"/>
          <w:szCs w:val="28"/>
        </w:rPr>
        <w:t>每</w:t>
      </w:r>
      <w:r>
        <w:rPr>
          <w:rFonts w:eastAsia="仿宋"/>
          <w:color w:val="000000"/>
          <w:sz w:val="28"/>
          <w:szCs w:val="28"/>
        </w:rPr>
        <w:t>2个月举办一次在线直播答疑，解答参训学员在学习交流和工作中的困惑和问题。参训学员可根据直播答疑安排参与活动，具体活动详情请及时关注</w:t>
      </w:r>
      <w:r>
        <w:rPr>
          <w:rFonts w:hint="eastAsia" w:eastAsia="仿宋"/>
          <w:color w:val="000000"/>
          <w:sz w:val="28"/>
          <w:szCs w:val="28"/>
        </w:rPr>
        <w:t>高校辅导员网络学院</w:t>
      </w:r>
      <w:r>
        <w:rPr>
          <w:rFonts w:eastAsia="仿宋"/>
          <w:color w:val="000000"/>
          <w:sz w:val="28"/>
          <w:szCs w:val="28"/>
        </w:rPr>
        <w:t>首页</w:t>
      </w:r>
      <w:r>
        <w:rPr>
          <w:rFonts w:hint="eastAsia" w:eastAsia="仿宋"/>
          <w:color w:val="000000"/>
          <w:sz w:val="28"/>
          <w:szCs w:val="28"/>
        </w:rPr>
        <w:t>“网院动态”或“直播课堂”</w:t>
      </w:r>
      <w:r>
        <w:rPr>
          <w:rFonts w:eastAsia="仿宋"/>
          <w:color w:val="000000"/>
          <w:sz w:val="28"/>
          <w:szCs w:val="28"/>
        </w:rPr>
        <w:t>栏目。</w:t>
      </w:r>
    </w:p>
    <w:p>
      <w:pPr>
        <w:spacing w:line="600" w:lineRule="exact"/>
        <w:ind w:firstLine="562" w:firstLineChars="200"/>
        <w:rPr>
          <w:rFonts w:eastAsia="仿宋"/>
          <w:color w:val="000000"/>
          <w:sz w:val="28"/>
          <w:szCs w:val="28"/>
        </w:rPr>
      </w:pPr>
      <w:r>
        <w:rPr>
          <w:rFonts w:hint="eastAsia" w:eastAsia="仿宋"/>
          <w:b/>
          <w:color w:val="000000"/>
          <w:sz w:val="28"/>
          <w:szCs w:val="28"/>
        </w:rPr>
        <w:t>4</w:t>
      </w:r>
      <w:r>
        <w:rPr>
          <w:rFonts w:eastAsia="仿宋"/>
          <w:b/>
          <w:color w:val="000000"/>
          <w:sz w:val="28"/>
          <w:szCs w:val="28"/>
        </w:rPr>
        <w:t>.</w:t>
      </w:r>
      <w:r>
        <w:rPr>
          <w:rFonts w:hint="eastAsia" w:eastAsia="仿宋"/>
          <w:b/>
          <w:color w:val="000000"/>
          <w:sz w:val="28"/>
          <w:szCs w:val="28"/>
        </w:rPr>
        <w:t>在线考试测评：</w:t>
      </w:r>
      <w:r>
        <w:rPr>
          <w:rFonts w:eastAsia="仿宋"/>
          <w:color w:val="000000"/>
          <w:sz w:val="28"/>
          <w:szCs w:val="28"/>
        </w:rPr>
        <w:t>参训学员在完成</w:t>
      </w:r>
      <w:r>
        <w:rPr>
          <w:rFonts w:hint="eastAsia" w:eastAsia="仿宋"/>
          <w:color w:val="000000"/>
          <w:sz w:val="28"/>
          <w:szCs w:val="28"/>
        </w:rPr>
        <w:t>网络课程学时考核要求后</w:t>
      </w:r>
      <w:r>
        <w:rPr>
          <w:rFonts w:eastAsia="仿宋"/>
          <w:color w:val="000000"/>
          <w:sz w:val="28"/>
          <w:szCs w:val="28"/>
        </w:rPr>
        <w:t>参加在线考试，考核内容为培训课程所学内容和辅导员工作相关内容，题型为单选、多选、判断，总分为100分</w:t>
      </w:r>
      <w:r>
        <w:rPr>
          <w:rFonts w:hint="eastAsia" w:eastAsia="仿宋"/>
          <w:color w:val="000000"/>
          <w:sz w:val="28"/>
          <w:szCs w:val="28"/>
        </w:rPr>
        <w:t>，考试时间为90分钟</w:t>
      </w:r>
      <w:r>
        <w:rPr>
          <w:rFonts w:eastAsia="仿宋"/>
          <w:color w:val="000000"/>
          <w:sz w:val="28"/>
          <w:szCs w:val="28"/>
        </w:rPr>
        <w:t>。</w:t>
      </w:r>
    </w:p>
    <w:p>
      <w:pPr>
        <w:spacing w:line="600" w:lineRule="exact"/>
        <w:ind w:firstLine="562" w:firstLineChars="200"/>
        <w:rPr>
          <w:rFonts w:hint="eastAsia" w:eastAsia="仿宋"/>
          <w:b/>
          <w:color w:val="000000"/>
          <w:sz w:val="28"/>
          <w:szCs w:val="28"/>
        </w:rPr>
      </w:pPr>
      <w:r>
        <w:rPr>
          <w:rFonts w:hint="eastAsia" w:eastAsia="仿宋"/>
          <w:b/>
          <w:color w:val="000000"/>
          <w:sz w:val="28"/>
          <w:szCs w:val="28"/>
        </w:rPr>
        <w:t>5</w:t>
      </w:r>
      <w:r>
        <w:rPr>
          <w:rFonts w:eastAsia="仿宋"/>
          <w:b/>
          <w:color w:val="000000"/>
          <w:sz w:val="28"/>
          <w:szCs w:val="28"/>
        </w:rPr>
        <w:t>.课题研究报告</w:t>
      </w:r>
      <w:r>
        <w:rPr>
          <w:rFonts w:hint="eastAsia" w:eastAsia="仿宋"/>
          <w:b/>
          <w:color w:val="000000"/>
          <w:sz w:val="28"/>
          <w:szCs w:val="28"/>
        </w:rPr>
        <w:t>（选修）：</w:t>
      </w:r>
      <w:r>
        <w:rPr>
          <w:rFonts w:eastAsia="仿宋"/>
          <w:color w:val="000000"/>
          <w:sz w:val="28"/>
          <w:szCs w:val="28"/>
        </w:rPr>
        <w:t>参</w:t>
      </w:r>
      <w:r>
        <w:rPr>
          <w:rFonts w:hint="eastAsia" w:eastAsia="仿宋"/>
          <w:color w:val="000000"/>
          <w:sz w:val="28"/>
          <w:szCs w:val="28"/>
        </w:rPr>
        <w:t>训</w:t>
      </w:r>
      <w:r>
        <w:rPr>
          <w:rFonts w:eastAsia="仿宋"/>
          <w:color w:val="000000"/>
          <w:sz w:val="28"/>
          <w:szCs w:val="28"/>
        </w:rPr>
        <w:t>学员可提交一份不少于3000字的研究报告，报告选题可参考附件4，也可自行围绕辅导员工作明确选题。培训结束后1个月内，各参训高校可推选1-2篇优秀研究报告，发送至邮箱fdy@naea.edu.cn</w:t>
      </w:r>
      <w:r>
        <w:rPr>
          <w:rFonts w:hint="eastAsia" w:eastAsia="仿宋"/>
          <w:color w:val="000000"/>
          <w:sz w:val="28"/>
          <w:szCs w:val="28"/>
        </w:rPr>
        <w:t>。</w:t>
      </w:r>
      <w:r>
        <w:rPr>
          <w:rFonts w:eastAsia="仿宋"/>
          <w:color w:val="000000"/>
          <w:sz w:val="28"/>
          <w:szCs w:val="28"/>
        </w:rPr>
        <w:t>优秀研究报告将在高校辅导员网络学院首页</w:t>
      </w:r>
      <w:r>
        <w:rPr>
          <w:rFonts w:hint="eastAsia" w:eastAsia="仿宋"/>
          <w:color w:val="000000"/>
          <w:sz w:val="28"/>
          <w:szCs w:val="28"/>
        </w:rPr>
        <w:t>宣传</w:t>
      </w:r>
      <w:r>
        <w:rPr>
          <w:rFonts w:eastAsia="仿宋"/>
          <w:color w:val="000000"/>
          <w:sz w:val="28"/>
          <w:szCs w:val="28"/>
        </w:rPr>
        <w:t>展示</w:t>
      </w:r>
      <w:r>
        <w:rPr>
          <w:rFonts w:hint="eastAsia" w:eastAsia="仿宋"/>
          <w:color w:val="000000"/>
          <w:sz w:val="28"/>
          <w:szCs w:val="28"/>
        </w:rPr>
        <w:t>，特别</w:t>
      </w:r>
      <w:r>
        <w:rPr>
          <w:rFonts w:eastAsia="仿宋"/>
          <w:color w:val="000000"/>
          <w:sz w:val="28"/>
          <w:szCs w:val="28"/>
        </w:rPr>
        <w:t>优秀研究报告将推送至</w:t>
      </w:r>
      <w:r>
        <w:rPr>
          <w:rFonts w:hint="eastAsia" w:eastAsia="仿宋"/>
          <w:color w:val="000000"/>
          <w:sz w:val="28"/>
          <w:szCs w:val="28"/>
        </w:rPr>
        <w:t>“学习强国”学习平台宣传展示</w:t>
      </w:r>
      <w:r>
        <w:rPr>
          <w:rFonts w:eastAsia="仿宋"/>
          <w:color w:val="000000"/>
          <w:sz w:val="28"/>
          <w:szCs w:val="28"/>
        </w:rPr>
        <w:t>。</w:t>
      </w:r>
    </w:p>
    <w:p>
      <w:pPr>
        <w:spacing w:line="600" w:lineRule="exact"/>
        <w:ind w:firstLine="560" w:firstLineChars="200"/>
        <w:rPr>
          <w:rFonts w:ascii="黑体" w:eastAsia="黑体"/>
          <w:bCs/>
          <w:sz w:val="28"/>
          <w:szCs w:val="32"/>
        </w:rPr>
      </w:pPr>
      <w:r>
        <w:rPr>
          <w:rFonts w:hint="eastAsia" w:ascii="黑体" w:eastAsia="黑体"/>
          <w:bCs/>
          <w:sz w:val="28"/>
          <w:szCs w:val="32"/>
        </w:rPr>
        <w:t>六、培训考核</w:t>
      </w:r>
    </w:p>
    <w:p>
      <w:pPr>
        <w:spacing w:line="600" w:lineRule="exact"/>
        <w:ind w:firstLine="560" w:firstLineChars="200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培训采用过程性与终结性相结合的方式考核学员学习情况，参训学员按照培训考核要求完成相应学习任务，总成绩达</w:t>
      </w:r>
      <w:r>
        <w:rPr>
          <w:rFonts w:eastAsia="仿宋"/>
          <w:color w:val="000000"/>
          <w:sz w:val="28"/>
          <w:szCs w:val="28"/>
        </w:rPr>
        <w:t>80分及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以上为合格。考核合格的学员可在线打印学时证明，</w:t>
      </w:r>
      <w:r>
        <w:rPr>
          <w:rFonts w:eastAsia="仿宋"/>
          <w:color w:val="000000"/>
          <w:sz w:val="28"/>
          <w:szCs w:val="28"/>
        </w:rPr>
        <w:t>学习时长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可</w:t>
      </w:r>
      <w:r>
        <w:rPr>
          <w:rFonts w:eastAsia="仿宋"/>
          <w:color w:val="000000"/>
          <w:sz w:val="28"/>
          <w:szCs w:val="28"/>
        </w:rPr>
        <w:t>计入继续教育培训学时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。</w:t>
      </w:r>
    </w:p>
    <w:tbl>
      <w:tblPr>
        <w:tblStyle w:val="2"/>
        <w:tblW w:w="85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5813"/>
        <w:gridCol w:w="11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6" w:type="dxa"/>
            <w:noWrap w:val="0"/>
            <w:vAlign w:val="center"/>
          </w:tcPr>
          <w:p>
            <w:pPr>
              <w:jc w:val="center"/>
              <w:rPr>
                <w:rFonts w:eastAsia="仿宋"/>
                <w:b/>
                <w:color w:val="000000"/>
                <w:sz w:val="24"/>
                <w:szCs w:val="28"/>
              </w:rPr>
            </w:pPr>
            <w:r>
              <w:rPr>
                <w:rFonts w:eastAsia="仿宋"/>
                <w:b/>
                <w:color w:val="000000"/>
                <w:sz w:val="24"/>
                <w:szCs w:val="28"/>
              </w:rPr>
              <w:t>考核方式</w:t>
            </w:r>
          </w:p>
        </w:tc>
        <w:tc>
          <w:tcPr>
            <w:tcW w:w="5813" w:type="dxa"/>
            <w:noWrap w:val="0"/>
            <w:vAlign w:val="center"/>
          </w:tcPr>
          <w:p>
            <w:pPr>
              <w:jc w:val="center"/>
              <w:rPr>
                <w:rFonts w:eastAsia="仿宋"/>
                <w:b/>
                <w:color w:val="000000"/>
                <w:sz w:val="24"/>
                <w:szCs w:val="28"/>
              </w:rPr>
            </w:pPr>
            <w:r>
              <w:rPr>
                <w:rFonts w:eastAsia="仿宋"/>
                <w:b/>
                <w:color w:val="000000"/>
                <w:sz w:val="24"/>
                <w:szCs w:val="28"/>
              </w:rPr>
              <w:t>考核标准</w:t>
            </w:r>
          </w:p>
        </w:tc>
        <w:tc>
          <w:tcPr>
            <w:tcW w:w="1189" w:type="dxa"/>
            <w:noWrap w:val="0"/>
            <w:vAlign w:val="center"/>
          </w:tcPr>
          <w:p>
            <w:pPr>
              <w:jc w:val="center"/>
              <w:rPr>
                <w:rFonts w:eastAsia="仿宋"/>
                <w:b/>
                <w:color w:val="000000"/>
                <w:sz w:val="24"/>
                <w:szCs w:val="28"/>
              </w:rPr>
            </w:pPr>
            <w:r>
              <w:rPr>
                <w:rFonts w:eastAsia="仿宋"/>
                <w:b/>
                <w:color w:val="000000"/>
                <w:sz w:val="24"/>
                <w:szCs w:val="28"/>
              </w:rPr>
              <w:t>考核比重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6" w:type="dxa"/>
            <w:vMerge w:val="restart"/>
            <w:noWrap w:val="0"/>
            <w:vAlign w:val="center"/>
          </w:tcPr>
          <w:p>
            <w:pPr>
              <w:jc w:val="center"/>
              <w:rPr>
                <w:rFonts w:eastAsia="仿宋"/>
                <w:color w:val="000000"/>
                <w:sz w:val="24"/>
                <w:szCs w:val="28"/>
              </w:rPr>
            </w:pPr>
            <w:r>
              <w:rPr>
                <w:rFonts w:eastAsia="仿宋"/>
                <w:color w:val="000000"/>
                <w:sz w:val="24"/>
                <w:szCs w:val="28"/>
              </w:rPr>
              <w:t>过程性考核</w:t>
            </w:r>
          </w:p>
        </w:tc>
        <w:tc>
          <w:tcPr>
            <w:tcW w:w="5813" w:type="dxa"/>
            <w:noWrap w:val="0"/>
            <w:vAlign w:val="center"/>
          </w:tcPr>
          <w:p>
            <w:pPr>
              <w:rPr>
                <w:rFonts w:eastAsia="仿宋"/>
                <w:color w:val="000000"/>
                <w:sz w:val="24"/>
                <w:szCs w:val="28"/>
              </w:rPr>
            </w:pPr>
            <w:r>
              <w:rPr>
                <w:rFonts w:eastAsia="仿宋"/>
                <w:color w:val="000000"/>
                <w:sz w:val="24"/>
                <w:szCs w:val="28"/>
              </w:rPr>
              <w:t>自主选学不少于30学时的网络课程。</w:t>
            </w:r>
          </w:p>
        </w:tc>
        <w:tc>
          <w:tcPr>
            <w:tcW w:w="1189" w:type="dxa"/>
            <w:noWrap w:val="0"/>
            <w:vAlign w:val="center"/>
          </w:tcPr>
          <w:p>
            <w:pPr>
              <w:jc w:val="center"/>
              <w:rPr>
                <w:rFonts w:eastAsia="仿宋"/>
                <w:color w:val="000000"/>
                <w:sz w:val="24"/>
                <w:szCs w:val="28"/>
              </w:rPr>
            </w:pPr>
            <w:r>
              <w:rPr>
                <w:rFonts w:eastAsia="仿宋"/>
                <w:color w:val="000000"/>
                <w:sz w:val="24"/>
                <w:szCs w:val="28"/>
              </w:rPr>
              <w:t>50%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6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仿宋"/>
                <w:color w:val="000000"/>
                <w:sz w:val="24"/>
                <w:szCs w:val="28"/>
              </w:rPr>
            </w:pPr>
          </w:p>
        </w:tc>
        <w:tc>
          <w:tcPr>
            <w:tcW w:w="5813" w:type="dxa"/>
            <w:noWrap w:val="0"/>
            <w:vAlign w:val="center"/>
          </w:tcPr>
          <w:p>
            <w:pPr>
              <w:rPr>
                <w:rFonts w:eastAsia="仿宋"/>
                <w:color w:val="000000"/>
                <w:sz w:val="24"/>
                <w:szCs w:val="28"/>
              </w:rPr>
            </w:pPr>
            <w:r>
              <w:rPr>
                <w:rFonts w:eastAsia="仿宋"/>
                <w:color w:val="000000"/>
                <w:sz w:val="24"/>
                <w:szCs w:val="28"/>
              </w:rPr>
              <w:t>参与班级研讨不少于2次。</w:t>
            </w:r>
          </w:p>
        </w:tc>
        <w:tc>
          <w:tcPr>
            <w:tcW w:w="1189" w:type="dxa"/>
            <w:noWrap w:val="0"/>
            <w:vAlign w:val="center"/>
          </w:tcPr>
          <w:p>
            <w:pPr>
              <w:jc w:val="center"/>
              <w:rPr>
                <w:rFonts w:eastAsia="仿宋"/>
                <w:color w:val="000000"/>
                <w:sz w:val="24"/>
                <w:szCs w:val="28"/>
              </w:rPr>
            </w:pPr>
            <w:r>
              <w:rPr>
                <w:rFonts w:eastAsia="仿宋"/>
                <w:color w:val="000000"/>
                <w:sz w:val="24"/>
                <w:szCs w:val="28"/>
              </w:rPr>
              <w:t>10%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6" w:type="dxa"/>
            <w:noWrap w:val="0"/>
            <w:vAlign w:val="center"/>
          </w:tcPr>
          <w:p>
            <w:pPr>
              <w:jc w:val="center"/>
              <w:rPr>
                <w:rFonts w:eastAsia="仿宋"/>
                <w:color w:val="000000"/>
                <w:sz w:val="24"/>
                <w:szCs w:val="28"/>
              </w:rPr>
            </w:pPr>
            <w:r>
              <w:rPr>
                <w:rFonts w:eastAsia="仿宋"/>
                <w:color w:val="000000"/>
                <w:sz w:val="24"/>
                <w:szCs w:val="28"/>
              </w:rPr>
              <w:t>终结性考核</w:t>
            </w:r>
          </w:p>
        </w:tc>
        <w:tc>
          <w:tcPr>
            <w:tcW w:w="5813" w:type="dxa"/>
            <w:noWrap w:val="0"/>
            <w:vAlign w:val="center"/>
          </w:tcPr>
          <w:p>
            <w:pPr>
              <w:rPr>
                <w:rFonts w:eastAsia="仿宋"/>
                <w:color w:val="000000"/>
                <w:sz w:val="24"/>
                <w:szCs w:val="28"/>
              </w:rPr>
            </w:pPr>
            <w:r>
              <w:rPr>
                <w:rFonts w:eastAsia="仿宋"/>
                <w:color w:val="000000"/>
                <w:sz w:val="24"/>
                <w:szCs w:val="28"/>
              </w:rPr>
              <w:t>参加在线考试</w:t>
            </w:r>
            <w:r>
              <w:rPr>
                <w:rFonts w:eastAsia="仿宋_GB2312"/>
                <w:sz w:val="24"/>
              </w:rPr>
              <w:t>（总分为100分），考试时间为90分钟。</w:t>
            </w:r>
          </w:p>
        </w:tc>
        <w:tc>
          <w:tcPr>
            <w:tcW w:w="1189" w:type="dxa"/>
            <w:noWrap w:val="0"/>
            <w:vAlign w:val="center"/>
          </w:tcPr>
          <w:p>
            <w:pPr>
              <w:jc w:val="center"/>
              <w:rPr>
                <w:rFonts w:eastAsia="仿宋"/>
                <w:color w:val="000000"/>
                <w:sz w:val="24"/>
                <w:szCs w:val="28"/>
              </w:rPr>
            </w:pPr>
            <w:r>
              <w:rPr>
                <w:rFonts w:eastAsia="仿宋"/>
                <w:color w:val="000000"/>
                <w:sz w:val="24"/>
                <w:szCs w:val="28"/>
              </w:rPr>
              <w:t>40%</w:t>
            </w:r>
          </w:p>
        </w:tc>
      </w:tr>
    </w:tbl>
    <w:p>
      <w:pPr>
        <w:spacing w:line="560" w:lineRule="exact"/>
        <w:ind w:firstLine="560" w:firstLineChars="200"/>
        <w:rPr>
          <w:rFonts w:hint="eastAsia" w:ascii="黑体" w:hAnsi="黑体" w:eastAsia="黑体" w:cs="黑体"/>
          <w:bCs/>
          <w:color w:val="000000"/>
          <w:sz w:val="28"/>
          <w:szCs w:val="28"/>
        </w:rPr>
      </w:pPr>
      <w:r>
        <w:rPr>
          <w:rFonts w:ascii="黑体" w:eastAsia="黑体"/>
          <w:bCs/>
          <w:sz w:val="28"/>
          <w:szCs w:val="32"/>
        </w:rPr>
        <w:t>七</w:t>
      </w:r>
      <w:r>
        <w:rPr>
          <w:rFonts w:hint="eastAsia" w:ascii="黑体" w:eastAsia="黑体"/>
          <w:bCs/>
          <w:sz w:val="28"/>
          <w:szCs w:val="32"/>
        </w:rPr>
        <w:t>、</w:t>
      </w:r>
      <w:r>
        <w:rPr>
          <w:rFonts w:hint="eastAsia" w:ascii="黑体" w:hAnsi="黑体" w:eastAsia="黑体" w:cs="黑体"/>
          <w:bCs/>
          <w:color w:val="000000"/>
          <w:sz w:val="28"/>
          <w:szCs w:val="28"/>
        </w:rPr>
        <w:t>培训费用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eastAsia="仿宋"/>
          <w:color w:val="000000"/>
          <w:sz w:val="28"/>
          <w:szCs w:val="28"/>
        </w:rPr>
        <w:t>280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元/人（含课程开发、组织管理、教学服务、平台使用、带宽支持等费用），费用以高校为单位按下列账号支付：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收款单位：国家教育行政学院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开户银行：工行北京体育场支行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账    号：</w:t>
      </w:r>
      <w:r>
        <w:rPr>
          <w:rFonts w:eastAsia="仿宋"/>
          <w:sz w:val="28"/>
          <w:szCs w:val="28"/>
        </w:rPr>
        <w:t>02000530090</w:t>
      </w:r>
      <w:r>
        <w:rPr>
          <w:rFonts w:hint="eastAsia" w:eastAsia="仿宋"/>
          <w:sz w:val="28"/>
          <w:szCs w:val="28"/>
        </w:rPr>
        <w:t>14409667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b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联 行 号：</w:t>
      </w:r>
      <w:r>
        <w:rPr>
          <w:rFonts w:hint="eastAsia" w:eastAsia="仿宋"/>
          <w:color w:val="000000"/>
          <w:sz w:val="28"/>
          <w:szCs w:val="28"/>
        </w:rPr>
        <w:t>102100005307</w:t>
      </w:r>
    </w:p>
    <w:p>
      <w:pPr>
        <w:spacing w:line="600" w:lineRule="exact"/>
        <w:ind w:firstLine="560" w:firstLineChars="200"/>
        <w:rPr>
          <w:rFonts w:ascii="黑体" w:eastAsia="黑体"/>
          <w:bCs/>
          <w:sz w:val="28"/>
          <w:szCs w:val="32"/>
        </w:rPr>
      </w:pPr>
      <w:r>
        <w:rPr>
          <w:rFonts w:hint="eastAsia" w:ascii="黑体" w:hAnsi="黑体" w:eastAsia="黑体" w:cs="黑体"/>
          <w:bCs/>
          <w:color w:val="000000"/>
          <w:sz w:val="28"/>
          <w:szCs w:val="28"/>
        </w:rPr>
        <w:t>八、</w:t>
      </w:r>
      <w:r>
        <w:rPr>
          <w:rFonts w:ascii="黑体" w:eastAsia="黑体"/>
          <w:bCs/>
          <w:sz w:val="28"/>
          <w:szCs w:val="32"/>
        </w:rPr>
        <w:t>组织实施</w:t>
      </w:r>
    </w:p>
    <w:p>
      <w:pPr>
        <w:spacing w:line="600" w:lineRule="exact"/>
        <w:ind w:firstLine="560" w:firstLineChars="200"/>
        <w:rPr>
          <w:rFonts w:hint="eastAsia" w:eastAsia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本期培训以高校为单位组织参加培训，以班级为单位开展培训活动，各参训院校可开设多个班级，每班原则上不少于</w:t>
      </w:r>
      <w:r>
        <w:rPr>
          <w:rFonts w:eastAsia="仿宋"/>
          <w:color w:val="000000"/>
          <w:sz w:val="28"/>
          <w:szCs w:val="28"/>
        </w:rPr>
        <w:t>3</w:t>
      </w:r>
      <w:r>
        <w:rPr>
          <w:rFonts w:hint="eastAsia" w:eastAsia="仿宋"/>
          <w:color w:val="000000"/>
          <w:sz w:val="28"/>
          <w:szCs w:val="28"/>
        </w:rPr>
        <w:t>0</w:t>
      </w:r>
      <w:r>
        <w:rPr>
          <w:rFonts w:hint="eastAsia" w:ascii="仿宋" w:hAnsi="仿宋" w:eastAsia="仿宋" w:cs="仿宋"/>
          <w:sz w:val="28"/>
          <w:szCs w:val="28"/>
        </w:rPr>
        <w:t>人。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每班设班级管理员</w:t>
      </w:r>
      <w:r>
        <w:rPr>
          <w:rFonts w:eastAsia="仿宋"/>
          <w:color w:val="000000"/>
          <w:sz w:val="28"/>
          <w:szCs w:val="28"/>
        </w:rPr>
        <w:t>1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名，负责本班教学活动的组织管理，班级管理员由参训学校相关负责人担任。参训学员在高校辅导员网络学院进行实名注册，登录后使用学习卡，即可参加培训学习。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A9040A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/xig一叶编舟</cp:lastModifiedBy>
  <dcterms:modified xsi:type="dcterms:W3CDTF">2019-10-11T08:24:49Z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2052-11.1.0.8907</vt:lpwstr>
  </property>
</Properties>
</file>